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3841"/>
        <w:gridCol w:w="525"/>
        <w:gridCol w:w="4274"/>
        <w:gridCol w:w="2876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4BED1529" w:rsidR="00CB73F9" w:rsidRPr="00CB73F9" w:rsidRDefault="00CB73F9" w:rsidP="009612E3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C93B03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0DB3D02F" w14:textId="615191A5" w:rsidR="00CB73F9" w:rsidRPr="00CB73F9" w:rsidRDefault="009612E3" w:rsidP="004D4D6B">
            <w:pPr>
              <w:rPr>
                <w:lang w:val="lv-LV"/>
              </w:rPr>
            </w:pPr>
            <w:r w:rsidRPr="009612E3">
              <w:rPr>
                <w:lang w:val="lv-LV"/>
              </w:rPr>
              <w:t>04.01.2021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4A7F824D" w:rsidR="00CB73F9" w:rsidRPr="00CB73F9" w:rsidRDefault="00CB73F9" w:rsidP="009612E3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  <w:r w:rsidR="00C93B03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078" w:type="dxa"/>
          </w:tcPr>
          <w:p w14:paraId="0BDB6FA3" w14:textId="18B6AA1A" w:rsidR="00CB73F9" w:rsidRPr="00CB73F9" w:rsidRDefault="009612E3" w:rsidP="004D4D6B">
            <w:pPr>
              <w:rPr>
                <w:lang w:val="lv-LV"/>
              </w:rPr>
            </w:pPr>
            <w:r w:rsidRPr="009612E3">
              <w:rPr>
                <w:lang w:val="lv-LV"/>
              </w:rPr>
              <w:t>Elīna Jurēvica, galvenā komunikācijas speciāliste</w:t>
            </w: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33B15EB2" w:rsidR="00CB73F9" w:rsidRPr="00CB73F9" w:rsidRDefault="00C93B03" w:rsidP="004D4D6B">
            <w:pPr>
              <w:rPr>
                <w:lang w:val="lv-LV"/>
              </w:rPr>
            </w:pPr>
            <w:r>
              <w:rPr>
                <w:lang w:val="lv-LV"/>
              </w:rPr>
              <w:t>Neatliekamās medicīniskās palīdzības dienests (NMPD)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50E167F0" w:rsidR="00CB73F9" w:rsidRPr="00CB73F9" w:rsidRDefault="00400494" w:rsidP="00CB73F9">
            <w:pPr>
              <w:rPr>
                <w:lang w:val="lv-LV"/>
              </w:rPr>
            </w:pPr>
            <w:hyperlink r:id="rId11" w:history="1">
              <w:r w:rsidR="00090504" w:rsidRPr="007013E4">
                <w:rPr>
                  <w:rStyle w:val="Hyperlink"/>
                  <w:lang w:val="lv-LV"/>
                </w:rPr>
                <w:t>https://www.nmpd.gov.lv/lv</w:t>
              </w:r>
            </w:hyperlink>
            <w:r w:rsidR="00090504">
              <w:rPr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096"/>
        <w:gridCol w:w="1117"/>
        <w:gridCol w:w="1047"/>
        <w:gridCol w:w="1187"/>
        <w:gridCol w:w="1223"/>
        <w:gridCol w:w="1012"/>
        <w:gridCol w:w="1117"/>
        <w:gridCol w:w="1117"/>
        <w:gridCol w:w="1117"/>
        <w:gridCol w:w="1023"/>
        <w:gridCol w:w="1212"/>
      </w:tblGrid>
      <w:tr w:rsidR="00CB73F9" w:rsidRPr="004D7434" w14:paraId="7593BCF0" w14:textId="77777777" w:rsidTr="00AB414B">
        <w:tc>
          <w:tcPr>
            <w:tcW w:w="2122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096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4B4E87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B4E87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047" w:type="dxa"/>
            <w:vAlign w:val="center"/>
          </w:tcPr>
          <w:p w14:paraId="07E51BD4" w14:textId="77777777" w:rsidR="00CB73F9" w:rsidRPr="004B4E87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B4E87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87" w:type="dxa"/>
            <w:vAlign w:val="center"/>
          </w:tcPr>
          <w:p w14:paraId="7B693AE6" w14:textId="77777777" w:rsidR="00CB73F9" w:rsidRPr="004B4E87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B4E87">
              <w:rPr>
                <w:b/>
                <w:bCs/>
                <w:sz w:val="16"/>
                <w:szCs w:val="16"/>
                <w:lang w:val="lv-LV"/>
              </w:rPr>
              <w:t>Formu lauki un kļūdu paziņoj</w:t>
            </w:r>
            <w:bookmarkStart w:id="0" w:name="_GoBack"/>
            <w:bookmarkEnd w:id="0"/>
            <w:r w:rsidRPr="004B4E87">
              <w:rPr>
                <w:b/>
                <w:bCs/>
                <w:sz w:val="16"/>
                <w:szCs w:val="16"/>
                <w:lang w:val="lv-LV"/>
              </w:rPr>
              <w:t>umi</w:t>
            </w:r>
          </w:p>
        </w:tc>
        <w:tc>
          <w:tcPr>
            <w:tcW w:w="1223" w:type="dxa"/>
            <w:vAlign w:val="center"/>
          </w:tcPr>
          <w:p w14:paraId="0F05942D" w14:textId="77777777" w:rsidR="00CB73F9" w:rsidRPr="004B4E87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B4E87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12" w:type="dxa"/>
            <w:vAlign w:val="center"/>
          </w:tcPr>
          <w:p w14:paraId="64123752" w14:textId="77777777" w:rsidR="00CB73F9" w:rsidRPr="004B4E87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B4E87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4B4E87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4B4E87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2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322487" w:rsidRPr="004D7434" w14:paraId="0E97A2A2" w14:textId="77777777" w:rsidTr="00AB414B">
        <w:tc>
          <w:tcPr>
            <w:tcW w:w="2122" w:type="dxa"/>
          </w:tcPr>
          <w:p w14:paraId="3FC4372D" w14:textId="6FF30889" w:rsidR="00322487" w:rsidRPr="00CB73F9" w:rsidRDefault="00400494" w:rsidP="00322487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E57861" w:rsidRPr="007013E4">
                <w:rPr>
                  <w:rStyle w:val="Hyperlink"/>
                  <w:sz w:val="18"/>
                  <w:szCs w:val="18"/>
                  <w:lang w:val="lv-LV"/>
                </w:rPr>
                <w:t>www.nmpd.gov.lv/lv/jaunumi</w:t>
              </w:r>
            </w:hyperlink>
            <w:r w:rsidR="00E57861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096" w:type="dxa"/>
          </w:tcPr>
          <w:p w14:paraId="65859A14" w14:textId="789B7DBE" w:rsidR="00322487" w:rsidRPr="00CB73F9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3BE89654" w:rsidR="00322487" w:rsidRPr="004B4E87" w:rsidRDefault="00060C1A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47" w:type="dxa"/>
          </w:tcPr>
          <w:p w14:paraId="0B7D9B82" w14:textId="641AF307" w:rsidR="00322487" w:rsidRPr="004B4E87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6CC36E31" w14:textId="2758D773" w:rsidR="00322487" w:rsidRPr="004B4E87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3" w:type="dxa"/>
          </w:tcPr>
          <w:p w14:paraId="2798C724" w14:textId="77777777" w:rsidR="00322487" w:rsidRPr="004B4E87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  <w:p w14:paraId="20672ED6" w14:textId="77777777" w:rsidR="00322487" w:rsidRPr="004B4E87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12" w:type="dxa"/>
          </w:tcPr>
          <w:p w14:paraId="317C83E9" w14:textId="3A8A0A5F" w:rsidR="00322487" w:rsidRPr="004B4E87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7D8E0E57" w:rsidR="00322487" w:rsidRPr="004B4E87" w:rsidRDefault="0026082C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6399F2A" w14:textId="5D09926A" w:rsidR="00322487" w:rsidRPr="00CB73F9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7CBA6776" w:rsidR="00322487" w:rsidRPr="00CB73F9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606A0638" w14:textId="50C6A34E" w:rsidR="00322487" w:rsidRPr="00CB73F9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5E7D78FE" w14:textId="28A3D504" w:rsidR="00322487" w:rsidRPr="00CB73F9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060C1A" w:rsidRPr="004D7434" w14:paraId="247368E7" w14:textId="77777777" w:rsidTr="00AB414B">
        <w:tc>
          <w:tcPr>
            <w:tcW w:w="2122" w:type="dxa"/>
          </w:tcPr>
          <w:p w14:paraId="6A46EC14" w14:textId="4B1EE043" w:rsidR="00060C1A" w:rsidRPr="00CB73F9" w:rsidRDefault="00400494" w:rsidP="00060C1A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E57861" w:rsidRPr="007013E4">
                <w:rPr>
                  <w:rStyle w:val="Hyperlink"/>
                  <w:sz w:val="18"/>
                  <w:szCs w:val="18"/>
                  <w:lang w:val="lv-LV"/>
                </w:rPr>
                <w:t>www.nmpd.gov.lv/lv/sabiedribas-lidzdaliba</w:t>
              </w:r>
            </w:hyperlink>
            <w:r w:rsidR="00E57861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096" w:type="dxa"/>
          </w:tcPr>
          <w:p w14:paraId="3DDBA331" w14:textId="3169F798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65A97C7B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47" w:type="dxa"/>
          </w:tcPr>
          <w:p w14:paraId="462C5185" w14:textId="78EA42A9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2D402340" w14:textId="1C8836BA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3" w:type="dxa"/>
          </w:tcPr>
          <w:p w14:paraId="1095101D" w14:textId="043A3CDA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2" w:type="dxa"/>
          </w:tcPr>
          <w:p w14:paraId="4197F569" w14:textId="36B0CDAA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59145F04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FF9BB2A" w14:textId="5342D568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6200923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57B1543C" w14:textId="6F73D301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48F97111" w14:textId="475ADBD7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1F21DD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60C1A" w:rsidRPr="004D7434" w14:paraId="10FB6C36" w14:textId="77777777" w:rsidTr="00AB414B">
        <w:tc>
          <w:tcPr>
            <w:tcW w:w="2122" w:type="dxa"/>
          </w:tcPr>
          <w:p w14:paraId="7A8C2395" w14:textId="1AFB6916" w:rsidR="00060C1A" w:rsidRPr="00CB73F9" w:rsidRDefault="00400494" w:rsidP="00060C1A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E57861" w:rsidRPr="007013E4">
                <w:rPr>
                  <w:rStyle w:val="Hyperlink"/>
                  <w:sz w:val="18"/>
                  <w:szCs w:val="18"/>
                  <w:lang w:val="lv-LV"/>
                </w:rPr>
                <w:t>www.nmpd.gov.lv/lv/pirmsslimnicas-neatliekama-mediciniska-palidziba</w:t>
              </w:r>
            </w:hyperlink>
            <w:r w:rsidR="00E57861">
              <w:rPr>
                <w:sz w:val="18"/>
                <w:szCs w:val="18"/>
                <w:lang w:val="lv-LV"/>
              </w:rPr>
              <w:t xml:space="preserve"> </w:t>
            </w:r>
            <w:r w:rsidR="00060C1A">
              <w:rPr>
                <w:sz w:val="18"/>
                <w:szCs w:val="18"/>
                <w:lang w:val="lv-LV"/>
              </w:rPr>
              <w:t xml:space="preserve"> </w:t>
            </w:r>
            <w:r w:rsidR="00E57861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096" w:type="dxa"/>
          </w:tcPr>
          <w:p w14:paraId="6D3DF7C6" w14:textId="693B9365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32196E13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47" w:type="dxa"/>
          </w:tcPr>
          <w:p w14:paraId="198FFDF8" w14:textId="6E34D55A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  <w:p w14:paraId="7BE9C6F7" w14:textId="77777777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87" w:type="dxa"/>
          </w:tcPr>
          <w:p w14:paraId="440ECB11" w14:textId="30A831CC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3" w:type="dxa"/>
          </w:tcPr>
          <w:p w14:paraId="77CCC1FD" w14:textId="77777777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  <w:p w14:paraId="069118F5" w14:textId="77777777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12" w:type="dxa"/>
          </w:tcPr>
          <w:p w14:paraId="077710F3" w14:textId="6453ACA0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7EC2153F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B3BA408" w14:textId="4601DC02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660B5383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D54F5B8" w14:textId="4972CE3D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2F635688" w14:textId="33CF31B7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1F21DD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60C1A" w:rsidRPr="004D7434" w14:paraId="0601AC9A" w14:textId="77777777" w:rsidTr="00AB414B">
        <w:tc>
          <w:tcPr>
            <w:tcW w:w="2122" w:type="dxa"/>
          </w:tcPr>
          <w:p w14:paraId="18730E10" w14:textId="499D5777" w:rsidR="00060C1A" w:rsidRPr="00CB73F9" w:rsidRDefault="00400494" w:rsidP="00060C1A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E57861" w:rsidRPr="007013E4">
                <w:rPr>
                  <w:rStyle w:val="Hyperlink"/>
                  <w:sz w:val="18"/>
                  <w:szCs w:val="18"/>
                  <w:lang w:val="lv-LV"/>
                </w:rPr>
                <w:t>www.nmpd.gov.lv/lv/kad-zvanit-113</w:t>
              </w:r>
            </w:hyperlink>
            <w:r w:rsidR="00E57861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096" w:type="dxa"/>
          </w:tcPr>
          <w:p w14:paraId="10EF495E" w14:textId="3135AAEF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14A09E41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47" w:type="dxa"/>
          </w:tcPr>
          <w:p w14:paraId="597841ED" w14:textId="456F01EB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7585FE9B" w14:textId="3F8B29BD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3" w:type="dxa"/>
          </w:tcPr>
          <w:p w14:paraId="30857486" w14:textId="49E9D69F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2" w:type="dxa"/>
          </w:tcPr>
          <w:p w14:paraId="0AD40808" w14:textId="35A971CB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41121272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3BC5F9C" w14:textId="506221C6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5B8FB396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36153F9D" w14:textId="545EE42F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68364BAA" w14:textId="1B4DF1FE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1F21DD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60C1A" w:rsidRPr="004D7434" w14:paraId="205D1867" w14:textId="77777777" w:rsidTr="00AB414B">
        <w:tc>
          <w:tcPr>
            <w:tcW w:w="2122" w:type="dxa"/>
          </w:tcPr>
          <w:p w14:paraId="09473C62" w14:textId="272644FE" w:rsidR="00060C1A" w:rsidRPr="00CB73F9" w:rsidRDefault="00400494" w:rsidP="00060C1A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E57861" w:rsidRPr="007013E4">
                <w:rPr>
                  <w:rStyle w:val="Hyperlink"/>
                  <w:sz w:val="18"/>
                  <w:szCs w:val="18"/>
                  <w:lang w:val="lv-LV"/>
                </w:rPr>
                <w:t>www.nmpd.gov.lv/lv/iestades-kontakti</w:t>
              </w:r>
            </w:hyperlink>
            <w:r w:rsidR="00E57861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096" w:type="dxa"/>
          </w:tcPr>
          <w:p w14:paraId="0CE42411" w14:textId="5C3512B1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70E3E4CC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47" w:type="dxa"/>
          </w:tcPr>
          <w:p w14:paraId="1D3C79A7" w14:textId="4EA967D7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3413B92F" w14:textId="58CD0E33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3" w:type="dxa"/>
          </w:tcPr>
          <w:p w14:paraId="3D24673A" w14:textId="77777777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  <w:p w14:paraId="73B41EC8" w14:textId="727FBE82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12" w:type="dxa"/>
          </w:tcPr>
          <w:p w14:paraId="600DCF46" w14:textId="2585F5A1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2A6047C2" w:rsidR="00060C1A" w:rsidRPr="004B4E87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731CA38" w14:textId="5FB69C18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32E96A05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A6F17D6" w14:textId="5764B9BD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02F23161" w14:textId="418A94DD" w:rsidR="00060C1A" w:rsidRPr="00CB73F9" w:rsidRDefault="00060C1A" w:rsidP="00060C1A">
            <w:pPr>
              <w:jc w:val="center"/>
              <w:rPr>
                <w:sz w:val="20"/>
                <w:szCs w:val="20"/>
                <w:lang w:val="lv-LV"/>
              </w:rPr>
            </w:pPr>
            <w:r w:rsidRPr="001F21DD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22487" w:rsidRPr="004D7434" w14:paraId="15EF5CE8" w14:textId="77777777" w:rsidTr="00AB414B">
        <w:tc>
          <w:tcPr>
            <w:tcW w:w="2122" w:type="dxa"/>
          </w:tcPr>
          <w:p w14:paraId="617A5550" w14:textId="5EA93383" w:rsidR="00322487" w:rsidRPr="00B94910" w:rsidRDefault="00322487" w:rsidP="00322487">
            <w:pPr>
              <w:tabs>
                <w:tab w:val="right" w:pos="1885"/>
              </w:tabs>
              <w:rPr>
                <w:b/>
                <w:sz w:val="18"/>
                <w:szCs w:val="18"/>
                <w:lang w:val="lv-LV"/>
              </w:rPr>
            </w:pPr>
            <w:r w:rsidRPr="00B94910">
              <w:rPr>
                <w:b/>
                <w:sz w:val="18"/>
                <w:szCs w:val="18"/>
                <w:lang w:val="lv-LV"/>
              </w:rPr>
              <w:t>KOMENTĀRI</w:t>
            </w:r>
            <w:r w:rsidRPr="00B94910">
              <w:rPr>
                <w:b/>
                <w:sz w:val="18"/>
                <w:szCs w:val="18"/>
                <w:lang w:val="lv-LV"/>
              </w:rPr>
              <w:tab/>
            </w:r>
          </w:p>
        </w:tc>
        <w:tc>
          <w:tcPr>
            <w:tcW w:w="1096" w:type="dxa"/>
          </w:tcPr>
          <w:p w14:paraId="2D27D2E1" w14:textId="7D3AE84A" w:rsidR="00322487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17" w:type="dxa"/>
          </w:tcPr>
          <w:p w14:paraId="6BD1BC08" w14:textId="50739DC6" w:rsidR="00322487" w:rsidRPr="004B4E87" w:rsidRDefault="005B7705" w:rsidP="00A434D1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047" w:type="dxa"/>
          </w:tcPr>
          <w:p w14:paraId="682764E2" w14:textId="03C1F16C" w:rsidR="00322487" w:rsidRPr="004B4E87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87" w:type="dxa"/>
          </w:tcPr>
          <w:p w14:paraId="4A56142F" w14:textId="7151F583" w:rsidR="00322487" w:rsidRPr="004B4E87" w:rsidRDefault="005B7705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2</w:t>
            </w:r>
            <w:r w:rsidR="00322487" w:rsidRPr="004B4E87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223" w:type="dxa"/>
          </w:tcPr>
          <w:p w14:paraId="63511FFF" w14:textId="1362A04A" w:rsidR="00322487" w:rsidRPr="004B4E87" w:rsidRDefault="005B7705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3</w:t>
            </w:r>
            <w:r w:rsidR="00322487" w:rsidRPr="004B4E87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012" w:type="dxa"/>
          </w:tcPr>
          <w:p w14:paraId="3A455A12" w14:textId="6607FD89" w:rsidR="00322487" w:rsidRPr="004B4E87" w:rsidRDefault="005B7705" w:rsidP="00322487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4</w:t>
            </w:r>
            <w:r w:rsidR="00322487" w:rsidRPr="004B4E87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117" w:type="dxa"/>
          </w:tcPr>
          <w:p w14:paraId="119D359D" w14:textId="343120E0" w:rsidR="00322487" w:rsidRPr="004B4E87" w:rsidRDefault="005B7705" w:rsidP="0026082C">
            <w:pPr>
              <w:jc w:val="center"/>
              <w:rPr>
                <w:sz w:val="20"/>
                <w:szCs w:val="20"/>
                <w:lang w:val="lv-LV"/>
              </w:rPr>
            </w:pPr>
            <w:r w:rsidRPr="004B4E87">
              <w:rPr>
                <w:sz w:val="20"/>
                <w:szCs w:val="20"/>
                <w:lang w:val="lv-LV"/>
              </w:rPr>
              <w:t>5</w:t>
            </w:r>
            <w:r w:rsidR="0026082C" w:rsidRPr="004B4E87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117" w:type="dxa"/>
          </w:tcPr>
          <w:p w14:paraId="571E900A" w14:textId="07732C0B" w:rsidR="00322487" w:rsidRPr="00CB73F9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117" w:type="dxa"/>
          </w:tcPr>
          <w:p w14:paraId="4A88BED3" w14:textId="19B5909D" w:rsidR="00322487" w:rsidRPr="00CB73F9" w:rsidRDefault="00322487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-</w:t>
            </w:r>
          </w:p>
        </w:tc>
        <w:tc>
          <w:tcPr>
            <w:tcW w:w="1023" w:type="dxa"/>
          </w:tcPr>
          <w:p w14:paraId="7B0D93C5" w14:textId="799F4158" w:rsidR="00322487" w:rsidRPr="00CB73F9" w:rsidRDefault="005B7705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</w:t>
            </w:r>
            <w:r w:rsidR="00322487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212" w:type="dxa"/>
          </w:tcPr>
          <w:p w14:paraId="52EAD4B7" w14:textId="674D9C43" w:rsidR="00322487" w:rsidRPr="00CB73F9" w:rsidRDefault="005B7705" w:rsidP="003224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</w:t>
            </w:r>
            <w:r w:rsidR="00322487">
              <w:rPr>
                <w:sz w:val="20"/>
                <w:szCs w:val="20"/>
                <w:lang w:val="lv-LV"/>
              </w:rPr>
              <w:t>.</w:t>
            </w:r>
          </w:p>
        </w:tc>
      </w:tr>
    </w:tbl>
    <w:p w14:paraId="2E7DE9CF" w14:textId="39C5AB1A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</w:t>
      </w:r>
      <w:r w:rsidR="008839D4">
        <w:rPr>
          <w:rFonts w:cstheme="minorHAnsi"/>
          <w:lang w:val="lv-LV"/>
        </w:rPr>
        <w:t>, ieteicams pievienot komentāru</w:t>
      </w:r>
      <w:r w:rsidRPr="00CB73F9">
        <w:rPr>
          <w:rFonts w:cstheme="minorHAnsi"/>
          <w:lang w:val="lv-LV"/>
        </w:rPr>
        <w:t>, kas tieši neatbilst. Šī informācija būs nepieciešama, aizpildot piekļūstamības paziņojuma formu.</w:t>
      </w:r>
    </w:p>
    <w:bookmarkEnd w:id="1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1334765" w14:textId="3579EB98" w:rsidR="00A83638" w:rsidRPr="00C12FCE" w:rsidRDefault="00CB73F9" w:rsidP="00CB73F9">
      <w:pPr>
        <w:spacing w:before="120" w:after="120" w:line="360" w:lineRule="auto"/>
        <w:jc w:val="both"/>
        <w:rPr>
          <w:u w:val="single"/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="00823E61">
        <w:rPr>
          <w:lang w:val="lv-LV"/>
        </w:rPr>
        <w:t xml:space="preserve"> </w:t>
      </w:r>
      <w:r w:rsidR="0027318D" w:rsidRPr="00C12FCE">
        <w:rPr>
          <w:u w:val="single"/>
          <w:lang w:val="lv-LV"/>
        </w:rPr>
        <w:t>Liene Cipule, Neatliekamās medicīniskās palīdzības dienesta direktore</w:t>
      </w: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75AD4998" w14:textId="3AD9B749" w:rsidR="00291AB2" w:rsidRDefault="00CB73F9" w:rsidP="00032FBD">
      <w:pPr>
        <w:jc w:val="center"/>
        <w:rPr>
          <w:rFonts w:ascii="Times New Roman" w:hAnsi="Times New Roman"/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2E02E6E2" w14:textId="58E44FEC" w:rsidR="00091B3E" w:rsidRPr="00161F4B" w:rsidRDefault="00161F4B" w:rsidP="005B7705">
      <w:pPr>
        <w:pStyle w:val="ListParagraph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  <w:r w:rsidRPr="00161F4B">
        <w:rPr>
          <w:rFonts w:ascii="RobustaTLPro-Regular" w:eastAsia="Times New Roman" w:hAnsi="RobustaTLPro-Regular" w:cs="Times New Roman"/>
          <w:noProof/>
          <w:color w:val="212529"/>
          <w:sz w:val="24"/>
          <w:szCs w:val="24"/>
          <w:lang w:val="lv-LV" w:eastAsia="lv-LV"/>
        </w:rPr>
        <w:lastRenderedPageBreak/>
        <w:drawing>
          <wp:anchor distT="0" distB="0" distL="114300" distR="114300" simplePos="0" relativeHeight="251659264" behindDoc="1" locked="0" layoutInCell="1" allowOverlap="1" wp14:anchorId="6484A344" wp14:editId="6812289D">
            <wp:simplePos x="0" y="0"/>
            <wp:positionH relativeFrom="column">
              <wp:posOffset>473075</wp:posOffset>
            </wp:positionH>
            <wp:positionV relativeFrom="paragraph">
              <wp:posOffset>464820</wp:posOffset>
            </wp:positionV>
            <wp:extent cx="2464435" cy="1563370"/>
            <wp:effectExtent l="0" t="0" r="0" b="0"/>
            <wp:wrapTight wrapText="bothSides">
              <wp:wrapPolygon edited="0">
                <wp:start x="0" y="0"/>
                <wp:lineTo x="0" y="21319"/>
                <wp:lineTo x="21372" y="21319"/>
                <wp:lineTo x="21372" y="0"/>
                <wp:lineTo x="0" y="0"/>
              </wp:wrapPolygon>
            </wp:wrapTight>
            <wp:docPr id="2" name="Picture 2" descr="C:\Users\elina.jurevica\Downloads\piekļūstamība\nm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.jurevica\Downloads\piekļūstamība\nmo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" t="4242" r="17554" b="11765"/>
                    <a:stretch/>
                  </pic:blipFill>
                  <pic:spPr bwMode="auto">
                    <a:xfrm>
                      <a:off x="0" y="0"/>
                      <a:ext cx="246443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3E" w:rsidRPr="005B7705">
        <w:rPr>
          <w:rFonts w:cstheme="minorHAnsi"/>
          <w:sz w:val="24"/>
          <w:lang w:val="lv-LV"/>
        </w:rPr>
        <w:t xml:space="preserve">NMPD tīmekļvietnē tiek ievērots trīs līmeņu princips - galvene, galvenā daļa un kājene. </w:t>
      </w:r>
      <w:r w:rsidR="004F36AF" w:rsidRPr="005B7705">
        <w:rPr>
          <w:rFonts w:cstheme="minorHAnsi"/>
          <w:sz w:val="24"/>
          <w:lang w:val="lv-LV"/>
        </w:rPr>
        <w:t>Pamatstruktūras pārbaudē tika konstatēts, ka termini atkārtojas, piemēram, navigation, un to saturs nav paskaidrots.</w:t>
      </w:r>
    </w:p>
    <w:p w14:paraId="17E94893" w14:textId="28517AE4" w:rsidR="00161F4B" w:rsidRPr="00161F4B" w:rsidRDefault="00161F4B" w:rsidP="00161F4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2EFCCB40" w14:textId="77777777" w:rsidR="008C6220" w:rsidRDefault="008C6220" w:rsidP="008C622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71CA71AD" w14:textId="77777777" w:rsidR="00161F4B" w:rsidRDefault="00161F4B" w:rsidP="008C622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630BD09E" w14:textId="77777777" w:rsidR="00161F4B" w:rsidRDefault="00161F4B" w:rsidP="008C622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574F23AD" w14:textId="77777777" w:rsidR="00161F4B" w:rsidRDefault="00161F4B" w:rsidP="008C622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12187B5E" w14:textId="77777777" w:rsidR="00161F4B" w:rsidRDefault="00161F4B" w:rsidP="008C622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50417E9E" w14:textId="77777777" w:rsidR="00161F4B" w:rsidRDefault="00161F4B" w:rsidP="008C622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7BA35973" w14:textId="77777777" w:rsidR="00161F4B" w:rsidRDefault="00161F4B" w:rsidP="008C622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44AB79C0" w14:textId="77777777" w:rsidR="00161F4B" w:rsidRPr="005B7705" w:rsidRDefault="00161F4B" w:rsidP="008C622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 w:eastAsia="lv-LV"/>
        </w:rPr>
      </w:pPr>
    </w:p>
    <w:p w14:paraId="2CFBD05E" w14:textId="2DEF81C4" w:rsidR="004653CB" w:rsidRPr="00161F4B" w:rsidRDefault="001F21DD" w:rsidP="00161F4B">
      <w:pPr>
        <w:pStyle w:val="ListParagraph"/>
        <w:numPr>
          <w:ilvl w:val="0"/>
          <w:numId w:val="64"/>
        </w:numPr>
        <w:spacing w:before="120" w:after="120" w:line="276" w:lineRule="auto"/>
        <w:jc w:val="both"/>
        <w:rPr>
          <w:rFonts w:cstheme="minorHAnsi"/>
          <w:sz w:val="24"/>
          <w:lang w:val="lv-LV"/>
        </w:rPr>
      </w:pPr>
      <w:r w:rsidRPr="0080682B">
        <w:rPr>
          <w:rFonts w:cstheme="minorHAnsi"/>
          <w:sz w:val="24"/>
          <w:lang w:val="lv-LV"/>
        </w:rPr>
        <w:t xml:space="preserve">Šobrīd NMPD tīmekļvietnē nav izveidota un publicēta neviena forma. Tiklīdz </w:t>
      </w:r>
      <w:r w:rsidR="008F18DA">
        <w:rPr>
          <w:rFonts w:cstheme="minorHAnsi"/>
          <w:sz w:val="24"/>
          <w:lang w:val="lv-LV"/>
        </w:rPr>
        <w:t>šādas formas ievietosim</w:t>
      </w:r>
      <w:r w:rsidRPr="0080682B">
        <w:rPr>
          <w:rFonts w:cstheme="minorHAnsi"/>
          <w:sz w:val="24"/>
          <w:lang w:val="lv-LV"/>
        </w:rPr>
        <w:t>, tiks ievēroti visi piekļūstamības principi.</w:t>
      </w:r>
    </w:p>
    <w:p w14:paraId="46F0F5B8" w14:textId="04C4961D" w:rsidR="00127E28" w:rsidRPr="00161F4B" w:rsidRDefault="0080682B" w:rsidP="00161F4B">
      <w:pPr>
        <w:pStyle w:val="ListParagraph"/>
        <w:numPr>
          <w:ilvl w:val="0"/>
          <w:numId w:val="64"/>
        </w:numPr>
        <w:spacing w:before="120" w:after="0" w:line="276" w:lineRule="auto"/>
        <w:jc w:val="both"/>
        <w:rPr>
          <w:rFonts w:cstheme="minorHAnsi"/>
          <w:sz w:val="24"/>
          <w:lang w:val="lv-LV"/>
        </w:rPr>
      </w:pPr>
      <w:r w:rsidRPr="0080682B">
        <w:rPr>
          <w:rFonts w:cstheme="minorHAnsi"/>
          <w:sz w:val="24"/>
          <w:lang w:val="lv-LV"/>
        </w:rPr>
        <w:t xml:space="preserve">Attēli, </w:t>
      </w:r>
      <w:r w:rsidR="00AD357E" w:rsidRPr="0080682B">
        <w:rPr>
          <w:rFonts w:cstheme="minorHAnsi"/>
          <w:sz w:val="24"/>
          <w:lang w:val="lv-LV"/>
        </w:rPr>
        <w:t>kas ir pievienoti kopš NMPD pievienošanās TVP,</w:t>
      </w:r>
      <w:r w:rsidRPr="0080682B">
        <w:rPr>
          <w:rFonts w:cstheme="minorHAnsi"/>
          <w:sz w:val="24"/>
          <w:lang w:val="lv-LV"/>
        </w:rPr>
        <w:t xml:space="preserve"> ir pieejami ar ALT tekstiem. Atsevišķiem attēliem, kas ir pievienoti senāk (piemēram, 2019. gadā), </w:t>
      </w:r>
      <w:r w:rsidR="00D25539">
        <w:rPr>
          <w:rFonts w:cstheme="minorHAnsi"/>
          <w:sz w:val="24"/>
          <w:lang w:val="lv-LV"/>
        </w:rPr>
        <w:t>tiek pilnveidoti</w:t>
      </w:r>
      <w:r w:rsidRPr="0080682B">
        <w:rPr>
          <w:rFonts w:cstheme="minorHAnsi"/>
          <w:sz w:val="24"/>
          <w:lang w:val="lv-LV"/>
        </w:rPr>
        <w:t xml:space="preserve"> šie </w:t>
      </w:r>
      <w:r w:rsidR="00D87171">
        <w:rPr>
          <w:rFonts w:cstheme="minorHAnsi"/>
          <w:sz w:val="24"/>
          <w:lang w:val="lv-LV"/>
        </w:rPr>
        <w:t>tekstu apraksti</w:t>
      </w:r>
      <w:r w:rsidRPr="0080682B">
        <w:rPr>
          <w:rFonts w:cstheme="minorHAnsi"/>
          <w:sz w:val="24"/>
          <w:lang w:val="lv-LV"/>
        </w:rPr>
        <w:t>, lai tie pēc iespējas labāk raksturotu ievietoto attēlu.</w:t>
      </w:r>
    </w:p>
    <w:p w14:paraId="5BCF51FB" w14:textId="1EAED0D6" w:rsidR="00DC692D" w:rsidRPr="00161F4B" w:rsidRDefault="00374303" w:rsidP="00161F4B">
      <w:pPr>
        <w:pStyle w:val="ListParagraph"/>
        <w:numPr>
          <w:ilvl w:val="0"/>
          <w:numId w:val="64"/>
        </w:numPr>
        <w:spacing w:before="120" w:after="120" w:line="276" w:lineRule="auto"/>
        <w:jc w:val="both"/>
        <w:rPr>
          <w:rFonts w:cstheme="minorHAnsi"/>
          <w:sz w:val="24"/>
          <w:lang w:val="lv-LV"/>
        </w:rPr>
      </w:pPr>
      <w:r w:rsidRPr="00DC692D">
        <w:rPr>
          <w:rFonts w:cstheme="minorHAnsi"/>
          <w:sz w:val="24"/>
          <w:lang w:val="lv-LV"/>
        </w:rPr>
        <w:t xml:space="preserve">Atsevišķās sadaļās ir </w:t>
      </w:r>
      <w:bookmarkStart w:id="2" w:name="_Hlk60219031"/>
      <w:r w:rsidRPr="00DC692D">
        <w:rPr>
          <w:rFonts w:cstheme="minorHAnsi"/>
          <w:sz w:val="24"/>
          <w:lang w:val="lv-LV"/>
        </w:rPr>
        <w:t>izlaists kāds no virsrakstu līmeņiem.</w:t>
      </w:r>
      <w:bookmarkEnd w:id="2"/>
      <w:r w:rsidR="00876AA0" w:rsidRPr="00DC692D">
        <w:rPr>
          <w:rFonts w:cstheme="minorHAnsi"/>
          <w:sz w:val="24"/>
          <w:lang w:val="lv-LV"/>
        </w:rPr>
        <w:t xml:space="preserve"> Jāuzlabo virsrakstu izkārtojums un saturs zem tā.</w:t>
      </w:r>
    </w:p>
    <w:p w14:paraId="10473962" w14:textId="5C6837D6" w:rsidR="0026082C" w:rsidRDefault="00892513" w:rsidP="0026082C">
      <w:pPr>
        <w:pStyle w:val="ListParagraph"/>
        <w:numPr>
          <w:ilvl w:val="0"/>
          <w:numId w:val="64"/>
        </w:numPr>
        <w:spacing w:before="120" w:after="120" w:line="276" w:lineRule="auto"/>
        <w:jc w:val="both"/>
        <w:rPr>
          <w:rFonts w:cstheme="minorHAnsi"/>
          <w:sz w:val="24"/>
          <w:lang w:val="lv-LV"/>
        </w:rPr>
      </w:pPr>
      <w:r w:rsidRPr="00127E28">
        <w:rPr>
          <w:rFonts w:cstheme="minorHAnsi"/>
          <w:noProof/>
          <w:sz w:val="24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DA1AAAC" wp14:editId="7F387F17">
            <wp:simplePos x="0" y="0"/>
            <wp:positionH relativeFrom="column">
              <wp:posOffset>476250</wp:posOffset>
            </wp:positionH>
            <wp:positionV relativeFrom="paragraph">
              <wp:posOffset>781685</wp:posOffset>
            </wp:positionV>
            <wp:extent cx="1508125" cy="1809750"/>
            <wp:effectExtent l="0" t="0" r="0" b="0"/>
            <wp:wrapTopAndBottom/>
            <wp:docPr id="1" name="Picture 1" descr="C:\Users\elina.jurevica\Downloads\piekļūstamība\kontr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.jurevica\Downloads\piekļūstamība\kontras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68"/>
                    <a:stretch/>
                  </pic:blipFill>
                  <pic:spPr bwMode="auto">
                    <a:xfrm>
                      <a:off x="0" y="0"/>
                      <a:ext cx="1508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E28">
        <w:rPr>
          <w:rFonts w:cstheme="minorHAnsi"/>
          <w:sz w:val="24"/>
          <w:lang w:val="lv-LV"/>
        </w:rPr>
        <w:t>Izmantojot programmu WAVE, tika konstatēts, ka a</w:t>
      </w:r>
      <w:r w:rsidR="0026082C">
        <w:rPr>
          <w:rFonts w:cstheme="minorHAnsi"/>
          <w:sz w:val="24"/>
          <w:lang w:val="lv-LV"/>
        </w:rPr>
        <w:t>tsevišķās vietās nav pietiekams krāsu kontrasts</w:t>
      </w:r>
      <w:r w:rsidR="009F3054">
        <w:rPr>
          <w:rFonts w:cstheme="minorHAnsi"/>
          <w:sz w:val="24"/>
          <w:lang w:val="lv-LV"/>
        </w:rPr>
        <w:t xml:space="preserve"> (oranžais tonis</w:t>
      </w:r>
      <w:r w:rsidR="00263E83">
        <w:rPr>
          <w:rFonts w:cstheme="minorHAnsi"/>
          <w:sz w:val="24"/>
          <w:lang w:val="lv-LV"/>
        </w:rPr>
        <w:t>, kas ir Veselības ministrijas un tās padotības iestāžu vienotā krāsa, ir</w:t>
      </w:r>
      <w:r w:rsidR="009F3054">
        <w:rPr>
          <w:rFonts w:cstheme="minorHAnsi"/>
          <w:sz w:val="24"/>
          <w:lang w:val="lv-LV"/>
        </w:rPr>
        <w:t xml:space="preserve"> nedaudz par blāvu)</w:t>
      </w:r>
      <w:r w:rsidR="0026082C">
        <w:rPr>
          <w:rFonts w:cstheme="minorHAnsi"/>
          <w:sz w:val="24"/>
          <w:lang w:val="lv-LV"/>
        </w:rPr>
        <w:t>. Taču tīmekļvietnē ir nodrošināti alternatīvi kontrastu režīmi,</w:t>
      </w:r>
      <w:r w:rsidR="003A77E9">
        <w:rPr>
          <w:rFonts w:cstheme="minorHAnsi"/>
          <w:sz w:val="24"/>
          <w:lang w:val="lv-LV"/>
        </w:rPr>
        <w:t xml:space="preserve"> ko vietnes lietotājs var izmantot,</w:t>
      </w:r>
      <w:r w:rsidR="0026082C">
        <w:rPr>
          <w:rFonts w:cstheme="minorHAnsi"/>
          <w:sz w:val="24"/>
          <w:lang w:val="lv-LV"/>
        </w:rPr>
        <w:t xml:space="preserve"> piemē</w:t>
      </w:r>
      <w:r w:rsidR="007C5B38">
        <w:rPr>
          <w:rFonts w:cstheme="minorHAnsi"/>
          <w:sz w:val="24"/>
          <w:lang w:val="lv-LV"/>
        </w:rPr>
        <w:t>ram,</w:t>
      </w:r>
      <w:r w:rsidR="003A77E9">
        <w:rPr>
          <w:rFonts w:cstheme="minorHAnsi"/>
          <w:sz w:val="24"/>
          <w:lang w:val="lv-LV"/>
        </w:rPr>
        <w:t xml:space="preserve"> pārslēgt uz</w:t>
      </w:r>
      <w:r w:rsidR="007C5B38">
        <w:rPr>
          <w:rFonts w:cstheme="minorHAnsi"/>
          <w:sz w:val="24"/>
          <w:lang w:val="lv-LV"/>
        </w:rPr>
        <w:t xml:space="preserve"> melnbal</w:t>
      </w:r>
      <w:r w:rsidR="0026082C">
        <w:rPr>
          <w:rFonts w:cstheme="minorHAnsi"/>
          <w:sz w:val="24"/>
          <w:lang w:val="lv-LV"/>
        </w:rPr>
        <w:t>t</w:t>
      </w:r>
      <w:r w:rsidR="003A77E9">
        <w:rPr>
          <w:rFonts w:cstheme="minorHAnsi"/>
          <w:sz w:val="24"/>
          <w:lang w:val="lv-LV"/>
        </w:rPr>
        <w:t>u versiju</w:t>
      </w:r>
      <w:r w:rsidR="0026082C">
        <w:rPr>
          <w:rFonts w:cstheme="minorHAnsi"/>
          <w:sz w:val="24"/>
          <w:lang w:val="lv-LV"/>
        </w:rPr>
        <w:t xml:space="preserve"> u.c.</w:t>
      </w:r>
    </w:p>
    <w:p w14:paraId="431C508C" w14:textId="0A7895BC" w:rsidR="0026082C" w:rsidRPr="0026082C" w:rsidRDefault="0026082C" w:rsidP="0026082C">
      <w:pPr>
        <w:spacing w:before="120" w:after="120" w:line="276" w:lineRule="auto"/>
        <w:jc w:val="both"/>
        <w:rPr>
          <w:rFonts w:cstheme="minorHAnsi"/>
          <w:sz w:val="24"/>
          <w:lang w:val="lv-LV"/>
        </w:rPr>
      </w:pPr>
    </w:p>
    <w:p w14:paraId="694312DF" w14:textId="53F01310" w:rsidR="00123377" w:rsidRPr="00161F4B" w:rsidRDefault="00310103" w:rsidP="00161F4B">
      <w:pPr>
        <w:pStyle w:val="ListParagraph"/>
        <w:numPr>
          <w:ilvl w:val="0"/>
          <w:numId w:val="64"/>
        </w:numPr>
        <w:spacing w:before="120" w:after="120" w:line="276" w:lineRule="auto"/>
        <w:jc w:val="both"/>
        <w:rPr>
          <w:rFonts w:cstheme="minorHAnsi"/>
          <w:sz w:val="24"/>
          <w:lang w:val="lv-LV"/>
        </w:rPr>
      </w:pPr>
      <w:r>
        <w:rPr>
          <w:rFonts w:cstheme="minorHAnsi"/>
          <w:sz w:val="24"/>
          <w:lang w:val="lv-LV"/>
        </w:rPr>
        <w:t>NMPD tīmekļvietnē saturs, kas ir k</w:t>
      </w:r>
      <w:r w:rsidR="0013720A">
        <w:rPr>
          <w:rFonts w:cstheme="minorHAnsi"/>
          <w:sz w:val="24"/>
          <w:lang w:val="lv-LV"/>
        </w:rPr>
        <w:t xml:space="preserve">ustīgs, ir tikai baneru formātā. Tas </w:t>
      </w:r>
      <w:r>
        <w:rPr>
          <w:rFonts w:cstheme="minorHAnsi"/>
          <w:sz w:val="24"/>
          <w:lang w:val="lv-LV"/>
        </w:rPr>
        <w:t xml:space="preserve">atrodas </w:t>
      </w:r>
      <w:r w:rsidR="0013720A">
        <w:rPr>
          <w:rFonts w:cstheme="minorHAnsi"/>
          <w:sz w:val="24"/>
          <w:lang w:val="lv-LV"/>
        </w:rPr>
        <w:t>vietnes</w:t>
      </w:r>
      <w:r>
        <w:rPr>
          <w:rFonts w:cstheme="minorHAnsi"/>
          <w:sz w:val="24"/>
          <w:lang w:val="lv-LV"/>
        </w:rPr>
        <w:t xml:space="preserve"> lejasdaļā baneru joslā.</w:t>
      </w:r>
      <w:r w:rsidR="00DC692D">
        <w:rPr>
          <w:rFonts w:cstheme="minorHAnsi"/>
          <w:sz w:val="24"/>
          <w:lang w:val="lv-LV"/>
        </w:rPr>
        <w:t xml:space="preserve"> </w:t>
      </w:r>
    </w:p>
    <w:p w14:paraId="7A07872B" w14:textId="5285E23F" w:rsidR="00322487" w:rsidRPr="00161F4B" w:rsidRDefault="00123377" w:rsidP="0046225B">
      <w:pPr>
        <w:pStyle w:val="ListParagraph"/>
        <w:numPr>
          <w:ilvl w:val="0"/>
          <w:numId w:val="64"/>
        </w:numPr>
        <w:spacing w:before="120" w:after="120" w:line="276" w:lineRule="auto"/>
        <w:jc w:val="both"/>
        <w:rPr>
          <w:rFonts w:cstheme="minorHAnsi"/>
          <w:sz w:val="24"/>
          <w:lang w:val="lv-LV"/>
        </w:rPr>
      </w:pPr>
      <w:r w:rsidRPr="00161F4B">
        <w:rPr>
          <w:rFonts w:cstheme="minorHAnsi"/>
          <w:sz w:val="24"/>
          <w:lang w:val="lv-LV"/>
        </w:rPr>
        <w:t>Konkrētajās sadaļās, kas tika vērtētas, nebija pievienots video vai audio saturs.</w:t>
      </w:r>
    </w:p>
    <w:sectPr w:rsidR="00322487" w:rsidRPr="00161F4B" w:rsidSect="00291AB2"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810D" w14:textId="77777777" w:rsidR="00400494" w:rsidRDefault="00400494" w:rsidP="001D0122">
      <w:pPr>
        <w:spacing w:after="0" w:line="240" w:lineRule="auto"/>
      </w:pPr>
      <w:r>
        <w:separator/>
      </w:r>
    </w:p>
  </w:endnote>
  <w:endnote w:type="continuationSeparator" w:id="0">
    <w:p w14:paraId="175BE1A3" w14:textId="77777777" w:rsidR="00400494" w:rsidRDefault="00400494" w:rsidP="001D0122">
      <w:pPr>
        <w:spacing w:after="0" w:line="240" w:lineRule="auto"/>
      </w:pPr>
      <w:r>
        <w:continuationSeparator/>
      </w:r>
    </w:p>
  </w:endnote>
  <w:endnote w:type="continuationNotice" w:id="1">
    <w:p w14:paraId="07245FB6" w14:textId="77777777" w:rsidR="00400494" w:rsidRDefault="00400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2CBE" w14:textId="77777777" w:rsidR="00400494" w:rsidRDefault="00400494" w:rsidP="001D0122">
      <w:pPr>
        <w:spacing w:after="0" w:line="240" w:lineRule="auto"/>
      </w:pPr>
      <w:r>
        <w:separator/>
      </w:r>
    </w:p>
  </w:footnote>
  <w:footnote w:type="continuationSeparator" w:id="0">
    <w:p w14:paraId="5DB8F728" w14:textId="77777777" w:rsidR="00400494" w:rsidRDefault="00400494" w:rsidP="001D0122">
      <w:pPr>
        <w:spacing w:after="0" w:line="240" w:lineRule="auto"/>
      </w:pPr>
      <w:r>
        <w:continuationSeparator/>
      </w:r>
    </w:p>
  </w:footnote>
  <w:footnote w:type="continuationNotice" w:id="1">
    <w:p w14:paraId="2C2DC2F3" w14:textId="77777777" w:rsidR="00400494" w:rsidRDefault="004004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19DE"/>
    <w:multiLevelType w:val="hybridMultilevel"/>
    <w:tmpl w:val="9C504630"/>
    <w:lvl w:ilvl="0" w:tplc="789EDC14">
      <w:start w:val="5"/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16511"/>
    <w:multiLevelType w:val="hybridMultilevel"/>
    <w:tmpl w:val="0B96EBA4"/>
    <w:lvl w:ilvl="0" w:tplc="0A64D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C3BCB"/>
    <w:multiLevelType w:val="multilevel"/>
    <w:tmpl w:val="276A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E7D5C"/>
    <w:multiLevelType w:val="hybridMultilevel"/>
    <w:tmpl w:val="16B0C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D5059E"/>
    <w:multiLevelType w:val="hybridMultilevel"/>
    <w:tmpl w:val="8D546156"/>
    <w:lvl w:ilvl="0" w:tplc="8A6E04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7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8"/>
  </w:num>
  <w:num w:numId="3">
    <w:abstractNumId w:val="64"/>
  </w:num>
  <w:num w:numId="4">
    <w:abstractNumId w:val="48"/>
  </w:num>
  <w:num w:numId="5">
    <w:abstractNumId w:val="44"/>
  </w:num>
  <w:num w:numId="6">
    <w:abstractNumId w:val="60"/>
  </w:num>
  <w:num w:numId="7">
    <w:abstractNumId w:val="29"/>
  </w:num>
  <w:num w:numId="8">
    <w:abstractNumId w:val="20"/>
  </w:num>
  <w:num w:numId="9">
    <w:abstractNumId w:val="24"/>
  </w:num>
  <w:num w:numId="10">
    <w:abstractNumId w:val="3"/>
  </w:num>
  <w:num w:numId="11">
    <w:abstractNumId w:val="35"/>
  </w:num>
  <w:num w:numId="12">
    <w:abstractNumId w:val="42"/>
  </w:num>
  <w:num w:numId="13">
    <w:abstractNumId w:val="30"/>
  </w:num>
  <w:num w:numId="14">
    <w:abstractNumId w:val="7"/>
  </w:num>
  <w:num w:numId="15">
    <w:abstractNumId w:val="28"/>
  </w:num>
  <w:num w:numId="16">
    <w:abstractNumId w:val="21"/>
  </w:num>
  <w:num w:numId="17">
    <w:abstractNumId w:val="50"/>
  </w:num>
  <w:num w:numId="18">
    <w:abstractNumId w:val="25"/>
  </w:num>
  <w:num w:numId="19">
    <w:abstractNumId w:val="11"/>
  </w:num>
  <w:num w:numId="20">
    <w:abstractNumId w:val="36"/>
  </w:num>
  <w:num w:numId="21">
    <w:abstractNumId w:val="62"/>
  </w:num>
  <w:num w:numId="22">
    <w:abstractNumId w:val="43"/>
  </w:num>
  <w:num w:numId="23">
    <w:abstractNumId w:val="31"/>
  </w:num>
  <w:num w:numId="24">
    <w:abstractNumId w:val="33"/>
  </w:num>
  <w:num w:numId="25">
    <w:abstractNumId w:val="27"/>
  </w:num>
  <w:num w:numId="26">
    <w:abstractNumId w:val="34"/>
  </w:num>
  <w:num w:numId="27">
    <w:abstractNumId w:val="19"/>
  </w:num>
  <w:num w:numId="28">
    <w:abstractNumId w:val="56"/>
  </w:num>
  <w:num w:numId="29">
    <w:abstractNumId w:val="23"/>
  </w:num>
  <w:num w:numId="30">
    <w:abstractNumId w:val="2"/>
  </w:num>
  <w:num w:numId="31">
    <w:abstractNumId w:val="54"/>
  </w:num>
  <w:num w:numId="32">
    <w:abstractNumId w:val="26"/>
  </w:num>
  <w:num w:numId="33">
    <w:abstractNumId w:val="66"/>
  </w:num>
  <w:num w:numId="34">
    <w:abstractNumId w:val="53"/>
  </w:num>
  <w:num w:numId="35">
    <w:abstractNumId w:val="10"/>
  </w:num>
  <w:num w:numId="36">
    <w:abstractNumId w:val="1"/>
  </w:num>
  <w:num w:numId="37">
    <w:abstractNumId w:val="61"/>
  </w:num>
  <w:num w:numId="38">
    <w:abstractNumId w:val="14"/>
  </w:num>
  <w:num w:numId="39">
    <w:abstractNumId w:val="51"/>
  </w:num>
  <w:num w:numId="40">
    <w:abstractNumId w:val="41"/>
  </w:num>
  <w:num w:numId="41">
    <w:abstractNumId w:val="45"/>
  </w:num>
  <w:num w:numId="42">
    <w:abstractNumId w:val="8"/>
  </w:num>
  <w:num w:numId="43">
    <w:abstractNumId w:val="65"/>
  </w:num>
  <w:num w:numId="44">
    <w:abstractNumId w:val="0"/>
  </w:num>
  <w:num w:numId="45">
    <w:abstractNumId w:val="17"/>
  </w:num>
  <w:num w:numId="46">
    <w:abstractNumId w:val="5"/>
  </w:num>
  <w:num w:numId="47">
    <w:abstractNumId w:val="40"/>
  </w:num>
  <w:num w:numId="48">
    <w:abstractNumId w:val="59"/>
  </w:num>
  <w:num w:numId="49">
    <w:abstractNumId w:val="57"/>
  </w:num>
  <w:num w:numId="50">
    <w:abstractNumId w:val="16"/>
  </w:num>
  <w:num w:numId="51">
    <w:abstractNumId w:val="39"/>
  </w:num>
  <w:num w:numId="52">
    <w:abstractNumId w:val="46"/>
  </w:num>
  <w:num w:numId="53">
    <w:abstractNumId w:val="18"/>
  </w:num>
  <w:num w:numId="54">
    <w:abstractNumId w:val="47"/>
  </w:num>
  <w:num w:numId="55">
    <w:abstractNumId w:val="22"/>
  </w:num>
  <w:num w:numId="56">
    <w:abstractNumId w:val="49"/>
  </w:num>
  <w:num w:numId="57">
    <w:abstractNumId w:val="32"/>
  </w:num>
  <w:num w:numId="58">
    <w:abstractNumId w:val="4"/>
  </w:num>
  <w:num w:numId="59">
    <w:abstractNumId w:val="55"/>
  </w:num>
  <w:num w:numId="60">
    <w:abstractNumId w:val="52"/>
  </w:num>
  <w:num w:numId="61">
    <w:abstractNumId w:val="63"/>
  </w:num>
  <w:num w:numId="62">
    <w:abstractNumId w:val="9"/>
  </w:num>
  <w:num w:numId="63">
    <w:abstractNumId w:val="12"/>
  </w:num>
  <w:num w:numId="64">
    <w:abstractNumId w:val="37"/>
  </w:num>
  <w:num w:numId="65">
    <w:abstractNumId w:val="15"/>
  </w:num>
  <w:num w:numId="66">
    <w:abstractNumId w:val="6"/>
  </w:num>
  <w:num w:numId="67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0C1A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5EB2"/>
    <w:rsid w:val="00086A19"/>
    <w:rsid w:val="00090504"/>
    <w:rsid w:val="00091B3E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0B6D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377"/>
    <w:rsid w:val="0012349E"/>
    <w:rsid w:val="001238EF"/>
    <w:rsid w:val="00123A04"/>
    <w:rsid w:val="00125F31"/>
    <w:rsid w:val="00127459"/>
    <w:rsid w:val="00127CD5"/>
    <w:rsid w:val="00127E28"/>
    <w:rsid w:val="00132F35"/>
    <w:rsid w:val="00134D4A"/>
    <w:rsid w:val="0013507D"/>
    <w:rsid w:val="001356EA"/>
    <w:rsid w:val="0013720A"/>
    <w:rsid w:val="001378AC"/>
    <w:rsid w:val="00140E3E"/>
    <w:rsid w:val="00141987"/>
    <w:rsid w:val="0014218F"/>
    <w:rsid w:val="00143644"/>
    <w:rsid w:val="001442E2"/>
    <w:rsid w:val="0015269D"/>
    <w:rsid w:val="00156CE9"/>
    <w:rsid w:val="00161F4B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21DD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F17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082C"/>
    <w:rsid w:val="00261673"/>
    <w:rsid w:val="00263987"/>
    <w:rsid w:val="00263E83"/>
    <w:rsid w:val="002640B2"/>
    <w:rsid w:val="00265BE8"/>
    <w:rsid w:val="00271ABF"/>
    <w:rsid w:val="002727B1"/>
    <w:rsid w:val="0027318D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0B14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5CEF"/>
    <w:rsid w:val="0030666C"/>
    <w:rsid w:val="0030691B"/>
    <w:rsid w:val="00307370"/>
    <w:rsid w:val="00307D97"/>
    <w:rsid w:val="00310103"/>
    <w:rsid w:val="00312546"/>
    <w:rsid w:val="00313C17"/>
    <w:rsid w:val="00313F5F"/>
    <w:rsid w:val="003145F2"/>
    <w:rsid w:val="0031496D"/>
    <w:rsid w:val="00317862"/>
    <w:rsid w:val="00320B70"/>
    <w:rsid w:val="00320B8E"/>
    <w:rsid w:val="0032241F"/>
    <w:rsid w:val="00322487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4303"/>
    <w:rsid w:val="0038026E"/>
    <w:rsid w:val="00382880"/>
    <w:rsid w:val="00382B24"/>
    <w:rsid w:val="00385504"/>
    <w:rsid w:val="00386249"/>
    <w:rsid w:val="003865B2"/>
    <w:rsid w:val="003910A4"/>
    <w:rsid w:val="00391A31"/>
    <w:rsid w:val="00395146"/>
    <w:rsid w:val="003956CD"/>
    <w:rsid w:val="003963E3"/>
    <w:rsid w:val="00397D61"/>
    <w:rsid w:val="003A01A8"/>
    <w:rsid w:val="003A5074"/>
    <w:rsid w:val="003A69E7"/>
    <w:rsid w:val="003A6F0C"/>
    <w:rsid w:val="003A77E9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0494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2716B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53CB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5488"/>
    <w:rsid w:val="004A7350"/>
    <w:rsid w:val="004A798C"/>
    <w:rsid w:val="004B07B4"/>
    <w:rsid w:val="004B18B3"/>
    <w:rsid w:val="004B2B83"/>
    <w:rsid w:val="004B4160"/>
    <w:rsid w:val="004B4E87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6AF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1BE1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05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0ADE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0A4A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6D0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5B38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682B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64A2"/>
    <w:rsid w:val="00817EB4"/>
    <w:rsid w:val="00821F8A"/>
    <w:rsid w:val="00823164"/>
    <w:rsid w:val="008234C5"/>
    <w:rsid w:val="00823E61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76AA0"/>
    <w:rsid w:val="00882F3F"/>
    <w:rsid w:val="008839D4"/>
    <w:rsid w:val="00884CBC"/>
    <w:rsid w:val="00885A16"/>
    <w:rsid w:val="0088710E"/>
    <w:rsid w:val="008923E2"/>
    <w:rsid w:val="00892513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B7CD2"/>
    <w:rsid w:val="008C6220"/>
    <w:rsid w:val="008C7D67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18DA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5B36"/>
    <w:rsid w:val="00917FDC"/>
    <w:rsid w:val="009214D6"/>
    <w:rsid w:val="00922AF5"/>
    <w:rsid w:val="00924636"/>
    <w:rsid w:val="009265DB"/>
    <w:rsid w:val="009267A0"/>
    <w:rsid w:val="00931F4D"/>
    <w:rsid w:val="009328BF"/>
    <w:rsid w:val="009333F6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2E3"/>
    <w:rsid w:val="0096277D"/>
    <w:rsid w:val="0096289D"/>
    <w:rsid w:val="00962D4B"/>
    <w:rsid w:val="00967BE9"/>
    <w:rsid w:val="00970B1A"/>
    <w:rsid w:val="00971881"/>
    <w:rsid w:val="009755E7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65E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997"/>
    <w:rsid w:val="009E6DA1"/>
    <w:rsid w:val="009F3054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6BA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34D1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14B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357E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042E"/>
    <w:rsid w:val="00B71410"/>
    <w:rsid w:val="00B72F03"/>
    <w:rsid w:val="00B7372E"/>
    <w:rsid w:val="00B74D06"/>
    <w:rsid w:val="00B80BA4"/>
    <w:rsid w:val="00B82921"/>
    <w:rsid w:val="00B82D04"/>
    <w:rsid w:val="00B85460"/>
    <w:rsid w:val="00B8663B"/>
    <w:rsid w:val="00B87F51"/>
    <w:rsid w:val="00B91631"/>
    <w:rsid w:val="00B92618"/>
    <w:rsid w:val="00B9360F"/>
    <w:rsid w:val="00B94910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D73FF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2FCE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B03"/>
    <w:rsid w:val="00C93F06"/>
    <w:rsid w:val="00C946A6"/>
    <w:rsid w:val="00C95BD5"/>
    <w:rsid w:val="00C963A5"/>
    <w:rsid w:val="00C97904"/>
    <w:rsid w:val="00CA08E9"/>
    <w:rsid w:val="00CA215F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2BB4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5539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7171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2D22"/>
    <w:rsid w:val="00DC31EB"/>
    <w:rsid w:val="00DC4668"/>
    <w:rsid w:val="00DC5CD5"/>
    <w:rsid w:val="00DC5E1D"/>
    <w:rsid w:val="00DC692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3252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5786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4EA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776DA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mpd.gov.lv/lv/sabiedribas-lidzdaliba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mpd.gov.lv/lv/jaunumi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nmpd.gov.lv/lv/iestades-kontakt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mpd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mpd.gov.lv/lv/kad-zvanit-113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mpd.gov.lv/lv/pirmsslimnicas-neatliekama-mediciniska-palidz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EF882-C6A9-4140-91F4-2B51E832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Elīna Jurēvica</cp:lastModifiedBy>
  <cp:revision>61</cp:revision>
  <dcterms:created xsi:type="dcterms:W3CDTF">2021-01-04T07:27:00Z</dcterms:created>
  <dcterms:modified xsi:type="dcterms:W3CDTF">2021-01-18T08:19:00Z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